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5DB" w:rsidRDefault="005B0FC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5528310</wp:posOffset>
            </wp:positionH>
            <wp:positionV relativeFrom="page">
              <wp:posOffset>276225</wp:posOffset>
            </wp:positionV>
            <wp:extent cx="552450" cy="592455"/>
            <wp:effectExtent l="19050" t="0" r="0" b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69FA">
        <w:t xml:space="preserve">Fiche pédagogique à remplir pour les productions </w:t>
      </w:r>
      <w:proofErr w:type="spellStart"/>
      <w:r w:rsidR="003069FA">
        <w:t>Crcf</w:t>
      </w:r>
      <w:proofErr w:type="spellEnd"/>
    </w:p>
    <w:p w:rsidR="001665DB" w:rsidRDefault="001665DB"/>
    <w:tbl>
      <w:tblPr>
        <w:tblW w:w="5042" w:type="pct"/>
        <w:tblInd w:w="-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3"/>
        <w:gridCol w:w="7547"/>
      </w:tblGrid>
      <w:tr w:rsidR="001665DB" w:rsidTr="00840085">
        <w:tc>
          <w:tcPr>
            <w:tcW w:w="9840" w:type="dxa"/>
            <w:gridSpan w:val="2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5B0FC2">
            <w:pPr>
              <w:keepNext/>
              <w:tabs>
                <w:tab w:val="left" w:pos="851"/>
              </w:tabs>
              <w:spacing w:before="240" w:after="240"/>
              <w:ind w:left="851" w:right="0" w:hanging="567"/>
              <w:jc w:val="center"/>
              <w:rPr>
                <w:rFonts w:cs="Arial"/>
                <w:b/>
                <w:bCs/>
                <w:iCs/>
                <w:sz w:val="36"/>
                <w:szCs w:val="26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147955</wp:posOffset>
                  </wp:positionV>
                  <wp:extent cx="952500" cy="952500"/>
                  <wp:effectExtent l="19050" t="0" r="0" b="0"/>
                  <wp:wrapTight wrapText="bothSides">
                    <wp:wrapPolygon edited="0">
                      <wp:start x="-432" y="0"/>
                      <wp:lineTo x="-432" y="21168"/>
                      <wp:lineTo x="21600" y="21168"/>
                      <wp:lineTo x="21600" y="0"/>
                      <wp:lineTo x="-432" y="0"/>
                    </wp:wrapPolygon>
                  </wp:wrapTight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9FA">
              <w:rPr>
                <w:rFonts w:cs="Arial"/>
                <w:b/>
                <w:bCs/>
                <w:iCs/>
                <w:color w:val="0F243E"/>
                <w:sz w:val="28"/>
                <w:szCs w:val="26"/>
                <w:u w:val="single"/>
              </w:rPr>
              <w:br/>
            </w:r>
            <w:r w:rsidR="000B543B">
              <w:rPr>
                <w:rFonts w:cs="Arial"/>
                <w:b/>
                <w:bCs/>
                <w:iCs/>
                <w:sz w:val="36"/>
                <w:szCs w:val="26"/>
                <w:u w:val="single"/>
              </w:rPr>
              <w:t>SITUATION CER</w:t>
            </w:r>
            <w:bookmarkStart w:id="0" w:name="_GoBack"/>
            <w:bookmarkEnd w:id="0"/>
          </w:p>
          <w:p w:rsidR="0092270C" w:rsidRDefault="0092270C">
            <w:pPr>
              <w:keepNext/>
              <w:tabs>
                <w:tab w:val="left" w:pos="851"/>
              </w:tabs>
              <w:spacing w:before="240" w:after="240"/>
              <w:ind w:left="851" w:right="0" w:hanging="567"/>
              <w:jc w:val="center"/>
            </w:pPr>
            <w:r>
              <w:rPr>
                <w:rFonts w:cs="Arial"/>
                <w:b/>
                <w:bCs/>
                <w:iCs/>
                <w:sz w:val="36"/>
                <w:szCs w:val="26"/>
                <w:u w:val="single"/>
              </w:rPr>
              <w:t>Compagnie des Engrenages et Réducteurs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ind w:left="0" w:right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ACADÉMIE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F94ADD">
            <w:pPr>
              <w:ind w:left="0" w:right="0"/>
              <w:jc w:val="left"/>
              <w:rPr>
                <w:szCs w:val="20"/>
              </w:rPr>
            </w:pPr>
            <w:r>
              <w:rPr>
                <w:szCs w:val="20"/>
              </w:rPr>
              <w:t>LILLE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ind w:left="0" w:right="0"/>
              <w:jc w:val="left"/>
            </w:pPr>
            <w:r>
              <w:rPr>
                <w:b/>
                <w:bCs/>
                <w:szCs w:val="20"/>
              </w:rPr>
              <w:t xml:space="preserve">Auteur(s) / relecteur(s) </w:t>
            </w:r>
            <w:r>
              <w:rPr>
                <w:szCs w:val="20"/>
              </w:rPr>
              <w:t>: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F94ADD">
            <w:pPr>
              <w:ind w:left="0" w:right="0"/>
              <w:jc w:val="left"/>
            </w:pPr>
            <w:r>
              <w:rPr>
                <w:szCs w:val="20"/>
              </w:rPr>
              <w:t>DOUTREMEPUICH Blandine, BOURLET Frédéric, DEUDON Didier, ALLIES Sébastien, RAMEZ Sébastien / CARON Pascal, VANTORRE Valérie, KULEMANN Sébastien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ind w:left="0" w:right="0"/>
              <w:jc w:val="left"/>
            </w:pPr>
            <w:r>
              <w:rPr>
                <w:b/>
                <w:bCs/>
                <w:szCs w:val="20"/>
              </w:rPr>
              <w:t xml:space="preserve">Mots-Clés </w:t>
            </w:r>
            <w:r>
              <w:rPr>
                <w:szCs w:val="20"/>
              </w:rPr>
              <w:t>: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F94ADD">
            <w:pPr>
              <w:ind w:left="0" w:right="0"/>
              <w:jc w:val="left"/>
            </w:pPr>
            <w:r>
              <w:rPr>
                <w:szCs w:val="20"/>
              </w:rPr>
              <w:t>Analyse financière, Bilan fonctionnel, CAF, SIG, Ratios, Investissement, Financement</w:t>
            </w:r>
            <w:r w:rsidR="003069FA">
              <w:rPr>
                <w:szCs w:val="20"/>
              </w:rPr>
              <w:t> 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ind w:left="0" w:right="0"/>
              <w:jc w:val="left"/>
            </w:pPr>
            <w:r>
              <w:rPr>
                <w:b/>
                <w:bCs/>
                <w:szCs w:val="20"/>
              </w:rPr>
              <w:t xml:space="preserve">Description </w:t>
            </w:r>
            <w:r>
              <w:rPr>
                <w:szCs w:val="20"/>
              </w:rPr>
              <w:t>: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F94ADD" w:rsidP="00F94ADD">
            <w:pPr>
              <w:ind w:left="0" w:right="0"/>
            </w:pPr>
            <w:r>
              <w:rPr>
                <w:szCs w:val="20"/>
              </w:rPr>
              <w:t xml:space="preserve">Pour maintenir sa compétitivité, la société </w:t>
            </w:r>
            <w:r w:rsidR="000B543B">
              <w:rPr>
                <w:szCs w:val="20"/>
              </w:rPr>
              <w:t>CER</w:t>
            </w:r>
            <w:r>
              <w:rPr>
                <w:szCs w:val="20"/>
              </w:rPr>
              <w:t xml:space="preserve"> doit réaliser des investissements importants en N+1. Un groupe de travail est chargé de réaliser une analyse financière de la situation de l’entreprise afin de vérifier les capacités de l’entreprise à financer cet investissement couteux.</w:t>
            </w:r>
          </w:p>
        </w:tc>
      </w:tr>
      <w:tr w:rsidR="00840085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0085" w:rsidRDefault="00840085" w:rsidP="00921F3E">
            <w:pPr>
              <w:ind w:left="0" w:right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Durée : 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0085" w:rsidRDefault="006325EF">
            <w:pPr>
              <w:ind w:left="0" w:right="0"/>
              <w:jc w:val="left"/>
              <w:rPr>
                <w:szCs w:val="20"/>
              </w:rPr>
            </w:pPr>
            <w:r>
              <w:rPr>
                <w:szCs w:val="20"/>
              </w:rPr>
              <w:t>6 heures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spacing w:before="100" w:after="100"/>
              <w:ind w:left="0" w:right="0"/>
              <w:jc w:val="left"/>
            </w:pPr>
            <w:r>
              <w:rPr>
                <w:b/>
                <w:bCs/>
              </w:rPr>
              <w:t>Public visé</w:t>
            </w:r>
            <w:r>
              <w:t xml:space="preserve"> :</w:t>
            </w:r>
            <w:r>
              <w:br/>
              <w:t> </w:t>
            </w:r>
            <w:r>
              <w:br/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6325EF">
            <w:pPr>
              <w:ind w:left="0" w:right="0"/>
              <w:jc w:val="left"/>
            </w:pPr>
            <w:r>
              <w:rPr>
                <w:szCs w:val="20"/>
              </w:rPr>
              <w:t>BTS CG 2</w:t>
            </w:r>
            <w:r w:rsidRPr="006325EF">
              <w:rPr>
                <w:szCs w:val="20"/>
                <w:vertAlign w:val="superscript"/>
              </w:rPr>
              <w:t>ème</w:t>
            </w:r>
            <w:r>
              <w:rPr>
                <w:szCs w:val="20"/>
              </w:rPr>
              <w:t xml:space="preserve"> année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ind w:left="0" w:right="0"/>
              <w:jc w:val="left"/>
            </w:pPr>
            <w:r>
              <w:rPr>
                <w:b/>
                <w:bCs/>
                <w:szCs w:val="20"/>
              </w:rPr>
              <w:t xml:space="preserve">Domaine </w:t>
            </w:r>
            <w:r>
              <w:rPr>
                <w:szCs w:val="20"/>
              </w:rPr>
              <w:t>: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0085" w:rsidRDefault="006325EF" w:rsidP="006325EF">
            <w:pPr>
              <w:ind w:left="0" w:right="0"/>
              <w:jc w:val="left"/>
            </w:pPr>
            <w:r>
              <w:t>Composantes concernées</w:t>
            </w:r>
            <w:r w:rsidR="00826618">
              <w:t> :</w:t>
            </w:r>
          </w:p>
          <w:p w:rsidR="00826618" w:rsidRP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  <w:r w:rsidRPr="00826618">
              <w:rPr>
                <w:sz w:val="20"/>
                <w:szCs w:val="20"/>
              </w:rPr>
              <w:t>- 6.1.1. Analyse et interprétation du compte de résultat</w:t>
            </w:r>
          </w:p>
          <w:p w:rsidR="00826618" w:rsidRP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  <w:r w:rsidRPr="00826618">
              <w:rPr>
                <w:sz w:val="20"/>
                <w:szCs w:val="20"/>
              </w:rPr>
              <w:t>- 6.1.2. Analyse de la performance financière de l'organisation</w:t>
            </w:r>
          </w:p>
          <w:p w:rsidR="00826618" w:rsidRP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  <w:r w:rsidRPr="00826618">
              <w:rPr>
                <w:sz w:val="20"/>
                <w:szCs w:val="20"/>
              </w:rPr>
              <w:t>- 6.3.1. Elaboration et analyse du bilan fonctionnel et des équilibres financiers</w:t>
            </w:r>
          </w:p>
          <w:p w:rsid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  <w:r w:rsidRPr="00826618">
              <w:rPr>
                <w:sz w:val="20"/>
                <w:szCs w:val="20"/>
              </w:rPr>
              <w:t>- 6.3.2. Analyse des ratios de structure et de l’équilibre financier</w:t>
            </w:r>
          </w:p>
          <w:p w:rsid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</w:p>
          <w:p w:rsidR="00826618" w:rsidRDefault="00826618" w:rsidP="00826618">
            <w:pPr>
              <w:ind w:left="0" w:right="0"/>
              <w:jc w:val="left"/>
            </w:pPr>
            <w:r>
              <w:t>Composantes associées :</w:t>
            </w:r>
          </w:p>
          <w:p w:rsidR="00826618" w:rsidRP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  <w:r w:rsidRPr="00826618">
              <w:rPr>
                <w:sz w:val="20"/>
                <w:szCs w:val="20"/>
              </w:rPr>
              <w:t>- 7.1.1. Caractérisation du SIC</w:t>
            </w:r>
          </w:p>
          <w:p w:rsidR="00826618" w:rsidRP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  <w:r w:rsidRPr="00826618">
              <w:rPr>
                <w:sz w:val="20"/>
                <w:szCs w:val="20"/>
              </w:rPr>
              <w:t>- 7.1.2. Evaluation des besoins d’information</w:t>
            </w:r>
          </w:p>
          <w:p w:rsidR="00826618" w:rsidRDefault="00826618" w:rsidP="00826618">
            <w:pPr>
              <w:ind w:left="0" w:right="0"/>
              <w:jc w:val="left"/>
            </w:pPr>
            <w:r w:rsidRPr="00826618">
              <w:rPr>
                <w:sz w:val="20"/>
                <w:szCs w:val="20"/>
              </w:rPr>
              <w:t>- 7.2.1. Contrôle de la fiabilité des informations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ind w:left="0" w:right="0"/>
              <w:jc w:val="left"/>
            </w:pPr>
            <w:r>
              <w:rPr>
                <w:b/>
                <w:bCs/>
                <w:szCs w:val="20"/>
              </w:rPr>
              <w:t xml:space="preserve">Type de ressource : 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840085" w:rsidP="000F4058">
            <w:pPr>
              <w:ind w:left="0" w:right="0"/>
              <w:jc w:val="left"/>
            </w:pPr>
            <w:r>
              <w:t>Situation professionnelle (BTS-CG</w:t>
            </w:r>
            <w:r w:rsidR="000F4058">
              <w:t>) ou Activité professionnelle (NTS CG)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spacing w:before="100" w:after="100"/>
              <w:ind w:left="0" w:right="0"/>
              <w:jc w:val="left"/>
            </w:pPr>
            <w:r>
              <w:rPr>
                <w:b/>
                <w:bCs/>
              </w:rPr>
              <w:t xml:space="preserve">Logiciel utilisé </w:t>
            </w:r>
            <w:proofErr w:type="gramStart"/>
            <w:r>
              <w:t>:</w:t>
            </w:r>
            <w:proofErr w:type="gramEnd"/>
            <w:r>
              <w:br/>
            </w:r>
            <w:r>
              <w:rPr>
                <w:b/>
                <w:bCs/>
              </w:rPr>
              <w:t xml:space="preserve">Autres outils TIC </w:t>
            </w:r>
            <w:r>
              <w:t xml:space="preserve">: 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26618" w:rsidRDefault="00826618">
            <w:pPr>
              <w:ind w:left="0" w:right="0"/>
              <w:jc w:val="left"/>
              <w:rPr>
                <w:szCs w:val="20"/>
              </w:rPr>
            </w:pPr>
            <w:r>
              <w:rPr>
                <w:szCs w:val="20"/>
              </w:rPr>
              <w:t>PGI SAGE 100 Entreprise (Module Comptable)</w:t>
            </w:r>
          </w:p>
          <w:p w:rsidR="00826618" w:rsidRDefault="00826618">
            <w:pPr>
              <w:ind w:left="0" w:right="0"/>
              <w:jc w:val="left"/>
              <w:rPr>
                <w:szCs w:val="20"/>
              </w:rPr>
            </w:pPr>
            <w:r>
              <w:rPr>
                <w:szCs w:val="20"/>
              </w:rPr>
              <w:t>Tableur Excel</w:t>
            </w:r>
          </w:p>
          <w:p w:rsidR="00826618" w:rsidRDefault="00826618">
            <w:pPr>
              <w:ind w:left="0" w:right="0"/>
              <w:jc w:val="left"/>
              <w:rPr>
                <w:szCs w:val="20"/>
              </w:rPr>
            </w:pPr>
            <w:r>
              <w:rPr>
                <w:szCs w:val="20"/>
              </w:rPr>
              <w:t>Connexion Internet</w:t>
            </w:r>
          </w:p>
          <w:p w:rsidR="001665DB" w:rsidRDefault="00826618">
            <w:pPr>
              <w:ind w:left="0" w:right="0"/>
              <w:jc w:val="left"/>
            </w:pPr>
            <w:r>
              <w:rPr>
                <w:szCs w:val="20"/>
              </w:rPr>
              <w:t>Lecteur de fichiers audio avec casque</w:t>
            </w:r>
            <w:r w:rsidR="003069FA">
              <w:rPr>
                <w:szCs w:val="20"/>
              </w:rPr>
              <w:t> 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spacing w:before="100" w:after="100"/>
              <w:ind w:left="0" w:right="0"/>
              <w:jc w:val="left"/>
            </w:pPr>
            <w:r>
              <w:rPr>
                <w:b/>
                <w:bCs/>
              </w:rPr>
              <w:t>Cadre pédagogique</w:t>
            </w:r>
            <w:proofErr w:type="gramStart"/>
            <w:r>
              <w:rPr>
                <w:b/>
                <w:bCs/>
              </w:rPr>
              <w:t>,</w:t>
            </w:r>
            <w:proofErr w:type="gramEnd"/>
            <w:r>
              <w:rPr>
                <w:b/>
                <w:bCs/>
              </w:rPr>
              <w:br/>
              <w:t>organisation pédagogique</w:t>
            </w:r>
            <w:r>
              <w:rPr>
                <w:b/>
                <w:bCs/>
              </w:rPr>
              <w:br/>
              <w:t>et conditions de déroulement</w:t>
            </w:r>
            <w:r>
              <w:t xml:space="preserve"> :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826618">
            <w:pPr>
              <w:ind w:left="0" w:right="0"/>
              <w:jc w:val="left"/>
              <w:rPr>
                <w:szCs w:val="20"/>
              </w:rPr>
            </w:pPr>
            <w:r>
              <w:rPr>
                <w:szCs w:val="20"/>
              </w:rPr>
              <w:t>TP de processus 6 ou AP</w:t>
            </w:r>
          </w:p>
          <w:p w:rsidR="00826618" w:rsidRDefault="00826618">
            <w:pPr>
              <w:ind w:left="0" w:right="0"/>
              <w:jc w:val="left"/>
            </w:pPr>
            <w:r>
              <w:t>Travail en groupes :</w:t>
            </w:r>
          </w:p>
          <w:p w:rsidR="00826618" w:rsidRP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  <w:r w:rsidRPr="00826618">
              <w:rPr>
                <w:sz w:val="20"/>
                <w:szCs w:val="20"/>
              </w:rPr>
              <w:t>- Un chef comptable (Production des documents de synthèse et export des données issues du PGI) ;</w:t>
            </w:r>
          </w:p>
          <w:p w:rsidR="00826618" w:rsidRPr="00826618" w:rsidRDefault="00826618" w:rsidP="00826618">
            <w:pPr>
              <w:ind w:left="0" w:right="0"/>
              <w:jc w:val="left"/>
              <w:rPr>
                <w:sz w:val="20"/>
                <w:szCs w:val="20"/>
              </w:rPr>
            </w:pPr>
            <w:r w:rsidRPr="00826618">
              <w:rPr>
                <w:sz w:val="20"/>
                <w:szCs w:val="20"/>
              </w:rPr>
              <w:t>- Une équipe de veille chargée de réunir les informations nécessaires à l’analyse financière ;</w:t>
            </w:r>
          </w:p>
          <w:p w:rsidR="00826618" w:rsidRDefault="00826618" w:rsidP="00826618">
            <w:pPr>
              <w:ind w:left="0" w:right="0"/>
              <w:jc w:val="left"/>
            </w:pPr>
            <w:r w:rsidRPr="00826618">
              <w:rPr>
                <w:sz w:val="20"/>
                <w:szCs w:val="20"/>
              </w:rPr>
              <w:t xml:space="preserve">- Une équipe d’analystes financiers chargée de la production des documents </w:t>
            </w:r>
            <w:r w:rsidRPr="00826618">
              <w:rPr>
                <w:sz w:val="20"/>
                <w:szCs w:val="20"/>
              </w:rPr>
              <w:lastRenderedPageBreak/>
              <w:t>d’analyse et de la rédaction des notes de synthèse</w:t>
            </w:r>
          </w:p>
        </w:tc>
      </w:tr>
      <w:tr w:rsidR="001665DB" w:rsidTr="00840085">
        <w:tc>
          <w:tcPr>
            <w:tcW w:w="2293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 w:rsidP="00921F3E">
            <w:pPr>
              <w:spacing w:before="100" w:after="100"/>
              <w:ind w:left="0" w:right="0"/>
              <w:jc w:val="left"/>
            </w:pPr>
            <w:r>
              <w:rPr>
                <w:b/>
                <w:bCs/>
              </w:rPr>
              <w:lastRenderedPageBreak/>
              <w:t xml:space="preserve">Fichier à télécharger :  </w:t>
            </w:r>
          </w:p>
        </w:tc>
        <w:tc>
          <w:tcPr>
            <w:tcW w:w="7547" w:type="dxa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684203">
            <w:pPr>
              <w:ind w:left="0" w:right="0"/>
              <w:jc w:val="left"/>
            </w:pPr>
            <w:r>
              <w:t>BTS-CG-CAS-CER-PROF.zip</w:t>
            </w:r>
          </w:p>
          <w:p w:rsidR="00684203" w:rsidRDefault="00684203">
            <w:pPr>
              <w:ind w:left="0" w:right="0"/>
              <w:jc w:val="left"/>
            </w:pPr>
            <w:r>
              <w:t>BTS-CG-CAS-CER-ELEVE</w:t>
            </w:r>
            <w:r w:rsidRPr="00684203">
              <w:t>.zip</w:t>
            </w:r>
          </w:p>
        </w:tc>
      </w:tr>
      <w:tr w:rsidR="001665DB" w:rsidTr="00840085">
        <w:tc>
          <w:tcPr>
            <w:tcW w:w="9840" w:type="dxa"/>
            <w:gridSpan w:val="2"/>
            <w:tcBorders>
              <w:top w:val="outset" w:sz="6" w:space="0" w:color="538135"/>
              <w:left w:val="outset" w:sz="6" w:space="0" w:color="538135"/>
              <w:bottom w:val="outset" w:sz="6" w:space="0" w:color="538135"/>
              <w:right w:val="outset" w:sz="6" w:space="0" w:color="538135"/>
            </w:tcBorders>
            <w:shd w:val="clear" w:color="auto" w:fill="E2EF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65DB" w:rsidRDefault="003069FA">
            <w:pPr>
              <w:ind w:left="0" w:right="0"/>
              <w:rPr>
                <w:szCs w:val="20"/>
              </w:rPr>
            </w:pPr>
            <w:r>
              <w:rPr>
                <w:b/>
                <w:bCs/>
                <w:szCs w:val="20"/>
              </w:rPr>
              <w:t>Observations</w:t>
            </w:r>
            <w:r>
              <w:rPr>
                <w:szCs w:val="20"/>
              </w:rPr>
              <w:t xml:space="preserve"> :</w:t>
            </w:r>
            <w:r w:rsidR="009213DF">
              <w:rPr>
                <w:szCs w:val="20"/>
              </w:rPr>
              <w:t xml:space="preserve"> Le contexte de cette situation professionnelle est inspiré d’un cas réel d’entreprise dont nous avons, à la demande de ses dirigeants, modifié le nom.</w:t>
            </w:r>
          </w:p>
          <w:p w:rsidR="009213DF" w:rsidRDefault="009213DF">
            <w:pPr>
              <w:ind w:left="0" w:right="0"/>
            </w:pPr>
            <w:r>
              <w:rPr>
                <w:szCs w:val="20"/>
              </w:rPr>
              <w:t xml:space="preserve">Les données financières (issues de bilan et compte de résultat publié au greffe du tribunal de commerce) ont également été modifiées par l’équipe pédagogique dans une perspective de simplification pédagogique. </w:t>
            </w:r>
          </w:p>
        </w:tc>
      </w:tr>
    </w:tbl>
    <w:p w:rsidR="001665DB" w:rsidRDefault="001665DB"/>
    <w:p w:rsidR="001665DB" w:rsidRDefault="001665DB"/>
    <w:sectPr w:rsidR="001665DB"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30" w:rsidRDefault="00591C30">
      <w:r>
        <w:separator/>
      </w:r>
    </w:p>
  </w:endnote>
  <w:endnote w:type="continuationSeparator" w:id="0">
    <w:p w:rsidR="00591C30" w:rsidRDefault="00591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30" w:rsidRDefault="00591C30">
      <w:r>
        <w:rPr>
          <w:color w:val="000000"/>
        </w:rPr>
        <w:separator/>
      </w:r>
    </w:p>
  </w:footnote>
  <w:footnote w:type="continuationSeparator" w:id="0">
    <w:p w:rsidR="00591C30" w:rsidRDefault="00591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DA6"/>
    <w:rsid w:val="000B543B"/>
    <w:rsid w:val="000F4058"/>
    <w:rsid w:val="001665DB"/>
    <w:rsid w:val="00257B82"/>
    <w:rsid w:val="00297559"/>
    <w:rsid w:val="003069FA"/>
    <w:rsid w:val="00347DA6"/>
    <w:rsid w:val="00412B11"/>
    <w:rsid w:val="00427DD9"/>
    <w:rsid w:val="00591C30"/>
    <w:rsid w:val="005B0FC2"/>
    <w:rsid w:val="006325EF"/>
    <w:rsid w:val="00684203"/>
    <w:rsid w:val="00826618"/>
    <w:rsid w:val="00840085"/>
    <w:rsid w:val="009213DF"/>
    <w:rsid w:val="00921F3E"/>
    <w:rsid w:val="0092270C"/>
    <w:rsid w:val="00D431CC"/>
    <w:rsid w:val="00F9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autoSpaceDN w:val="0"/>
      <w:ind w:left="284" w:right="284"/>
      <w:jc w:val="both"/>
      <w:textAlignment w:val="baseline"/>
    </w:pPr>
    <w:rPr>
      <w:rFonts w:ascii="Book Antiqua" w:hAnsi="Book Antiqua"/>
      <w:sz w:val="24"/>
      <w:szCs w:val="24"/>
    </w:rPr>
  </w:style>
  <w:style w:type="paragraph" w:styleId="Titre1">
    <w:name w:val="heading 1"/>
    <w:basedOn w:val="Normal"/>
    <w:next w:val="Normal"/>
    <w:pPr>
      <w:keepNext/>
      <w:pBdr>
        <w:top w:val="double" w:sz="12" w:space="1" w:color="000080"/>
        <w:bottom w:val="double" w:sz="12" w:space="1" w:color="000080"/>
      </w:pBdr>
      <w:spacing w:before="240" w:after="240"/>
      <w:ind w:left="0" w:right="-1"/>
      <w:outlineLvl w:val="0"/>
    </w:pPr>
    <w:rPr>
      <w:rFonts w:ascii="Arial" w:hAnsi="Arial" w:cs="Arial"/>
      <w:b/>
      <w:bCs/>
      <w:color w:val="0000FF"/>
      <w:kern w:val="3"/>
      <w:sz w:val="36"/>
      <w:szCs w:val="32"/>
    </w:rPr>
  </w:style>
  <w:style w:type="paragraph" w:styleId="Titre2">
    <w:name w:val="heading 2"/>
    <w:basedOn w:val="Normal"/>
    <w:next w:val="Normal"/>
    <w:pPr>
      <w:keepNext/>
      <w:pBdr>
        <w:bottom w:val="double" w:sz="12" w:space="1" w:color="000080"/>
      </w:pBdr>
      <w:spacing w:before="240" w:after="240"/>
      <w:ind w:left="0" w:right="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Titre3">
    <w:name w:val="heading 3"/>
    <w:basedOn w:val="Normal"/>
    <w:next w:val="Normal"/>
    <w:pPr>
      <w:keepNext/>
      <w:spacing w:before="240" w:after="120"/>
      <w:ind w:left="0" w:right="-1"/>
      <w:outlineLvl w:val="2"/>
    </w:pPr>
    <w:rPr>
      <w:rFonts w:ascii="Arial" w:hAnsi="Arial" w:cs="Arial"/>
      <w:b/>
      <w:bCs/>
      <w:color w:val="0000FF"/>
      <w:sz w:val="26"/>
      <w:szCs w:val="26"/>
      <w:u w:val="single" w:color="000080"/>
    </w:rPr>
  </w:style>
  <w:style w:type="paragraph" w:styleId="Titre4">
    <w:name w:val="heading 4"/>
    <w:basedOn w:val="Normal"/>
    <w:next w:val="Normal"/>
    <w:pPr>
      <w:keepNext/>
      <w:spacing w:before="120" w:after="120"/>
      <w:ind w:left="0"/>
      <w:outlineLvl w:val="3"/>
    </w:pPr>
    <w:rPr>
      <w:b/>
      <w:bCs/>
      <w:color w:val="0000FF"/>
      <w:u w:val="single" w:color="000080"/>
    </w:rPr>
  </w:style>
  <w:style w:type="paragraph" w:styleId="Titre5">
    <w:name w:val="heading 5"/>
    <w:basedOn w:val="Normal"/>
    <w:next w:val="Normal"/>
    <w:pPr>
      <w:keepNext/>
      <w:outlineLvl w:val="4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overflowPunct w:val="0"/>
      <w:autoSpaceDE w:val="0"/>
      <w:jc w:val="left"/>
    </w:pPr>
    <w:rPr>
      <w:sz w:val="20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Lienhypertexte">
    <w:name w:val="Hyperlink"/>
    <w:rPr>
      <w:color w:val="0000FF"/>
      <w:u w:val="single"/>
    </w:rPr>
  </w:style>
  <w:style w:type="paragraph" w:customStyle="1" w:styleId="txt">
    <w:name w:val="txt"/>
    <w:basedOn w:val="Normal"/>
    <w:pPr>
      <w:spacing w:before="100" w:after="100"/>
      <w:jc w:val="left"/>
    </w:pPr>
    <w:rPr>
      <w:rFonts w:ascii="Arial" w:hAnsi="Arial" w:cs="Arial"/>
      <w:color w:val="003366"/>
      <w:sz w:val="15"/>
      <w:szCs w:val="15"/>
    </w:rPr>
  </w:style>
  <w:style w:type="paragraph" w:customStyle="1" w:styleId="ref">
    <w:name w:val="ref"/>
    <w:basedOn w:val="Normal"/>
    <w:pPr>
      <w:spacing w:before="100" w:after="100"/>
      <w:jc w:val="left"/>
    </w:pPr>
    <w:rPr>
      <w:rFonts w:ascii="Verdana" w:hAnsi="Verdana"/>
      <w:color w:val="003366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styleId="Normalcentr">
    <w:name w:val="Block Text"/>
    <w:basedOn w:val="Normal"/>
  </w:style>
  <w:style w:type="paragraph" w:styleId="Notedebasdepage">
    <w:name w:val="footnote text"/>
    <w:basedOn w:val="Normal"/>
    <w:rPr>
      <w:szCs w:val="20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autoRedefine/>
    <w:pPr>
      <w:spacing w:before="120" w:after="60"/>
      <w:ind w:left="0"/>
      <w:jc w:val="left"/>
    </w:pPr>
    <w:rPr>
      <w:b/>
      <w:bCs/>
      <w:color w:val="0000FF"/>
      <w:u w:val="single"/>
    </w:rPr>
  </w:style>
  <w:style w:type="paragraph" w:styleId="TM2">
    <w:name w:val="toc 2"/>
    <w:basedOn w:val="Normal"/>
    <w:next w:val="Normal"/>
    <w:autoRedefine/>
    <w:pPr>
      <w:spacing w:before="60" w:after="60"/>
      <w:jc w:val="left"/>
    </w:pPr>
    <w:rPr>
      <w:b/>
      <w:iCs/>
      <w:color w:val="0000FF"/>
    </w:rPr>
  </w:style>
  <w:style w:type="paragraph" w:styleId="TM3">
    <w:name w:val="toc 3"/>
    <w:basedOn w:val="Normal"/>
    <w:next w:val="Normal"/>
    <w:autoRedefine/>
    <w:pPr>
      <w:spacing w:before="60"/>
      <w:ind w:left="397"/>
      <w:jc w:val="left"/>
    </w:pPr>
    <w:rPr>
      <w:color w:val="0000FF"/>
    </w:rPr>
  </w:style>
  <w:style w:type="paragraph" w:styleId="TM4">
    <w:name w:val="toc 4"/>
    <w:basedOn w:val="Normal"/>
    <w:next w:val="Normal"/>
    <w:autoRedefine/>
    <w:pPr>
      <w:ind w:left="600"/>
      <w:jc w:val="left"/>
    </w:pPr>
    <w:rPr>
      <w:i/>
      <w:color w:val="0000FF"/>
    </w:rPr>
  </w:style>
  <w:style w:type="paragraph" w:styleId="TM5">
    <w:name w:val="toc 5"/>
    <w:basedOn w:val="Normal"/>
    <w:next w:val="Normal"/>
    <w:autoRedefine/>
    <w:pPr>
      <w:ind w:left="800"/>
      <w:jc w:val="left"/>
    </w:pPr>
  </w:style>
  <w:style w:type="paragraph" w:styleId="TM6">
    <w:name w:val="toc 6"/>
    <w:basedOn w:val="Normal"/>
    <w:next w:val="Normal"/>
    <w:autoRedefine/>
    <w:pPr>
      <w:ind w:left="10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pPr>
      <w:ind w:left="120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E\AppData\Local\Microsoft\Windows\INetCache\Content.Outlook\CY7U39F7\FichePedaCrc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FichePedaCrcf</Template>
  <TotalTime>48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</dc:creator>
  <cp:lastModifiedBy>RAMEZ</cp:lastModifiedBy>
  <cp:revision>7</cp:revision>
  <dcterms:created xsi:type="dcterms:W3CDTF">2015-06-23T16:04:00Z</dcterms:created>
  <dcterms:modified xsi:type="dcterms:W3CDTF">2015-07-04T10:22:00Z</dcterms:modified>
</cp:coreProperties>
</file>